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54"/>
        </w:rPr>
        <w:t>VIETNAMESE SMALL CODE MODEL</w:t>
        <w:br/>
        <w:t>RESEARCH PREVIEW</w:t>
      </w:r>
    </w:p>
    <w:p>
      <w:pPr>
        <w:jc w:val="center"/>
      </w:pPr>
      <w:r>
        <w:rPr>
          <w:i/>
          <w:sz w:val="32"/>
        </w:rPr>
        <w:t>Từ pipeline 13M đến executor 52M có kiểm chứng</w:t>
      </w:r>
    </w:p>
    <w:p>
      <w:pPr>
        <w:jc w:val="center"/>
      </w:pPr>
      <w:r>
        <w:rPr>
          <w:sz w:val="22"/>
        </w:rPr>
        <w:t>TDGL Research - 13 July 2026</w:t>
      </w:r>
    </w:p>
    <w:p>
      <w:pPr>
        <w:jc w:val="center"/>
      </w:pPr>
      <w:r>
        <w:drawing>
          <wp:inline xmlns:a="http://schemas.openxmlformats.org/drawingml/2006/main" xmlns:pic="http://schemas.openxmlformats.org/drawingml/2006/picture">
            <wp:extent cx="6583680" cy="2106778"/>
            <wp:docPr id="1" name="Picture 1"/>
            <wp:cNvGraphicFramePr>
              <a:graphicFrameLocks noChangeAspect="1"/>
            </wp:cNvGraphicFramePr>
            <a:graphic>
              <a:graphicData uri="http://schemas.openxmlformats.org/drawingml/2006/picture">
                <pic:pic>
                  <pic:nvPicPr>
                    <pic:cNvPr id="0" name="project_timeline.png"/>
                    <pic:cNvPicPr/>
                  </pic:nvPicPr>
                  <pic:blipFill>
                    <a:blip r:embed="rId9"/>
                    <a:stretch>
                      <a:fillRect/>
                    </a:stretch>
                  </pic:blipFill>
                  <pic:spPr>
                    <a:xfrm>
                      <a:off x="0" y="0"/>
                      <a:ext cx="6583680" cy="2106778"/>
                    </a:xfrm>
                    <a:prstGeom prst="rect"/>
                  </pic:spPr>
                </pic:pic>
              </a:graphicData>
            </a:graphic>
          </wp:inline>
        </w:drawing>
      </w:r>
    </w:p>
    <w:p>
      <w:pPr>
        <w:jc w:val="center"/>
      </w:pPr>
      <w:r>
        <w:rPr>
          <w:i/>
          <w:sz w:val="18"/>
        </w:rPr>
        <w:t>Publication-safe summary. Full recipes and checkpoints remain private.</w:t>
      </w:r>
    </w:p>
    <w:p>
      <w:pPr>
        <w:pStyle w:val="Heading1"/>
      </w:pPr>
      <w:r>
        <w:t>1. Executive summary / Tóm tắt</w:t>
      </w:r>
    </w:p>
    <w:p>
      <w:r>
        <w:t>Dự án xây một mô hình code nhỏ ưu tiên tiếng Việt từ random initialization, với tiêu chí đánh giá bằng thực thi chứ không chỉ loss. Chuỗi thí nghiệm đã xác định bốn đòn bẩy chính: capacity, interface, structural/depth coverage và verifier-guided training.</w:t>
      </w:r>
    </w:p>
    <w:p>
      <w:r>
        <w:t>The project trained a Vietnamese-first small code model from scratch and evaluated it with executable tests. The research identified four principal levers: model capacity, deterministic interfaces, structural/depth coverage, and verification-guided training.</w:t>
      </w:r>
    </w:p>
    <w:p>
      <w:r>
        <w:t>Model 13M chạy ổn định nhưng không vượt executable pass@1=0. Một probe 52M đạt 52% raw pass@1; canonical signatures cộng AST binding tăng lên khoảng 83% test và 94% identifier robustness trong synthetic grammar.</w:t>
      </w:r>
    </w:p>
    <w:p>
      <w:r>
        <w:t>The strongest results remain synthetic and scoped. Chunked-depth 100% used a correct operation sequence supplied by the harness and must not be described as autonomous planning.</w:t>
      </w:r>
    </w:p>
    <w:p>
      <w:pPr>
        <w:pStyle w:val="Heading1"/>
      </w:pPr>
      <w:r>
        <w:t>2. Project timeline</w:t>
      </w:r>
    </w:p>
    <w:p>
      <w:pPr>
        <w:jc w:val="center"/>
      </w:pPr>
      <w:r>
        <w:drawing>
          <wp:inline xmlns:a="http://schemas.openxmlformats.org/drawingml/2006/main" xmlns:pic="http://schemas.openxmlformats.org/drawingml/2006/picture">
            <wp:extent cx="6583680" cy="2106778"/>
            <wp:docPr id="2" name="Picture 2"/>
            <wp:cNvGraphicFramePr>
              <a:graphicFrameLocks noChangeAspect="1"/>
            </wp:cNvGraphicFramePr>
            <a:graphic>
              <a:graphicData uri="http://schemas.openxmlformats.org/drawingml/2006/picture">
                <pic:pic>
                  <pic:nvPicPr>
                    <pic:cNvPr id="0" name="project_timeline.png"/>
                    <pic:cNvPicPr/>
                  </pic:nvPicPr>
                  <pic:blipFill>
                    <a:blip r:embed="rId9"/>
                    <a:stretch>
                      <a:fillRect/>
                    </a:stretch>
                  </pic:blipFill>
                  <pic:spPr>
                    <a:xfrm>
                      <a:off x="0" y="0"/>
                      <a:ext cx="6583680" cy="2106778"/>
                    </a:xfrm>
                    <a:prstGeom prst="rect"/>
                  </pic:spPr>
                </pic:pic>
              </a:graphicData>
            </a:graphic>
          </wp:inline>
        </w:drawing>
      </w:r>
    </w:p>
    <w:tbl>
      <w:tblPr>
        <w:tblStyle w:val="TableGrid"/>
        <w:tblW w:type="auto" w:w="0"/>
        <w:jc w:val="center"/>
        <w:tblLook w:firstColumn="1" w:firstRow="1" w:lastColumn="0" w:lastRow="0" w:noHBand="0" w:noVBand="1" w:val="04A0"/>
      </w:tblPr>
      <w:tblGrid>
        <w:gridCol w:w="3456"/>
        <w:gridCol w:w="3456"/>
        <w:gridCol w:w="3456"/>
      </w:tblGrid>
      <w:tr>
        <w:tc>
          <w:tcPr>
            <w:tcW w:type="dxa" w:w="3456"/>
            <w:shd w:fill="E9EFF4"/>
          </w:tcPr>
          <w:p>
            <w:r>
              <w:rPr>
                <w:b/>
                <w:sz w:val="17"/>
              </w:rPr>
              <w:t>Phase</w:t>
            </w:r>
          </w:p>
        </w:tc>
        <w:tc>
          <w:tcPr>
            <w:tcW w:type="dxa" w:w="3456"/>
            <w:shd w:fill="E9EFF4"/>
          </w:tcPr>
          <w:p>
            <w:r>
              <w:rPr>
                <w:b/>
                <w:sz w:val="17"/>
              </w:rPr>
              <w:t>Status</w:t>
            </w:r>
          </w:p>
        </w:tc>
        <w:tc>
          <w:tcPr>
            <w:tcW w:type="dxa" w:w="3456"/>
            <w:shd w:fill="E9EFF4"/>
          </w:tcPr>
          <w:p>
            <w:r>
              <w:rPr>
                <w:b/>
                <w:sz w:val="17"/>
              </w:rPr>
              <w:t>Core result</w:t>
            </w:r>
          </w:p>
        </w:tc>
      </w:tr>
      <w:tr>
        <w:tc>
          <w:tcPr>
            <w:tcW w:type="dxa" w:w="3456"/>
            <w:vAlign w:val="center"/>
          </w:tcPr>
          <w:p>
            <w:r>
              <w:rPr>
                <w:sz w:val="16"/>
              </w:rPr>
              <w:t>Phase A</w:t>
            </w:r>
          </w:p>
        </w:tc>
        <w:tc>
          <w:tcPr>
            <w:tcW w:type="dxa" w:w="3456"/>
            <w:vAlign w:val="center"/>
          </w:tcPr>
          <w:p>
            <w:r>
              <w:rPr>
                <w:sz w:val="16"/>
              </w:rPr>
              <w:t>Validated</w:t>
            </w:r>
          </w:p>
        </w:tc>
        <w:tc>
          <w:tcPr>
            <w:tcW w:type="dxa" w:w="3456"/>
            <w:vAlign w:val="center"/>
          </w:tcPr>
          <w:p>
            <w:r>
              <w:rPr>
                <w:sz w:val="16"/>
              </w:rPr>
              <w:t>End-to-end data/tokenizer/train/SFT/stage pipeline.</w:t>
            </w:r>
          </w:p>
        </w:tc>
      </w:tr>
      <w:tr>
        <w:tc>
          <w:tcPr>
            <w:tcW w:type="dxa" w:w="3456"/>
            <w:vAlign w:val="center"/>
          </w:tcPr>
          <w:p>
            <w:r>
              <w:rPr>
                <w:sz w:val="16"/>
              </w:rPr>
              <w:t>V3.2</w:t>
            </w:r>
          </w:p>
        </w:tc>
        <w:tc>
          <w:tcPr>
            <w:tcW w:type="dxa" w:w="3456"/>
            <w:vAlign w:val="center"/>
          </w:tcPr>
          <w:p>
            <w:r>
              <w:rPr>
                <w:sz w:val="16"/>
              </w:rPr>
              <w:t>Validated</w:t>
            </w:r>
          </w:p>
        </w:tc>
        <w:tc>
          <w:tcPr>
            <w:tcW w:type="dxa" w:w="3456"/>
            <w:vAlign w:val="center"/>
          </w:tcPr>
          <w:p>
            <w:r>
              <w:rPr>
                <w:sz w:val="16"/>
              </w:rPr>
              <w:t>13M trainer stable; validation improved; data budget low.</w:t>
            </w:r>
          </w:p>
        </w:tc>
      </w:tr>
      <w:tr>
        <w:tc>
          <w:tcPr>
            <w:tcW w:type="dxa" w:w="3456"/>
            <w:vAlign w:val="center"/>
          </w:tcPr>
          <w:p>
            <w:r>
              <w:rPr>
                <w:sz w:val="16"/>
              </w:rPr>
              <w:t>V4.1</w:t>
            </w:r>
          </w:p>
        </w:tc>
        <w:tc>
          <w:tcPr>
            <w:tcW w:type="dxa" w:w="3456"/>
            <w:vAlign w:val="center"/>
          </w:tcPr>
          <w:p>
            <w:r>
              <w:rPr>
                <w:sz w:val="16"/>
              </w:rPr>
              <w:t>Validated</w:t>
            </w:r>
          </w:p>
        </w:tc>
        <w:tc>
          <w:tcPr>
            <w:tcW w:type="dxa" w:w="3456"/>
            <w:vAlign w:val="center"/>
          </w:tcPr>
          <w:p>
            <w:r>
              <w:rPr>
                <w:sz w:val="16"/>
              </w:rPr>
              <w:t>Empirical recipe selection; code pass@1 stayed zero.</w:t>
            </w:r>
          </w:p>
        </w:tc>
      </w:tr>
      <w:tr>
        <w:tc>
          <w:tcPr>
            <w:tcW w:type="dxa" w:w="3456"/>
            <w:vAlign w:val="center"/>
          </w:tcPr>
          <w:p>
            <w:r>
              <w:rPr>
                <w:sz w:val="16"/>
              </w:rPr>
              <w:t>V5</w:t>
            </w:r>
          </w:p>
        </w:tc>
        <w:tc>
          <w:tcPr>
            <w:tcW w:type="dxa" w:w="3456"/>
            <w:vAlign w:val="center"/>
          </w:tcPr>
          <w:p>
            <w:r>
              <w:rPr>
                <w:sz w:val="16"/>
              </w:rPr>
              <w:t>Validated negative</w:t>
            </w:r>
          </w:p>
        </w:tc>
        <w:tc>
          <w:tcPr>
            <w:tcW w:type="dxa" w:w="3456"/>
            <w:vAlign w:val="center"/>
          </w:tcPr>
          <w:p>
            <w:r>
              <w:rPr>
                <w:sz w:val="16"/>
              </w:rPr>
              <w:t>Router improved; code capability stayed zero.</w:t>
            </w:r>
          </w:p>
        </w:tc>
      </w:tr>
      <w:tr>
        <w:tc>
          <w:tcPr>
            <w:tcW w:type="dxa" w:w="3456"/>
            <w:vAlign w:val="center"/>
          </w:tcPr>
          <w:p>
            <w:r>
              <w:rPr>
                <w:sz w:val="16"/>
              </w:rPr>
              <w:t>V6</w:t>
            </w:r>
          </w:p>
        </w:tc>
        <w:tc>
          <w:tcPr>
            <w:tcW w:type="dxa" w:w="3456"/>
            <w:vAlign w:val="center"/>
          </w:tcPr>
          <w:p>
            <w:r>
              <w:rPr>
                <w:sz w:val="16"/>
              </w:rPr>
              <w:t>Validated negative</w:t>
            </w:r>
          </w:p>
        </w:tc>
        <w:tc>
          <w:tcPr>
            <w:tcW w:type="dxa" w:w="3456"/>
            <w:vAlign w:val="center"/>
          </w:tcPr>
          <w:p>
            <w:r>
              <w:rPr>
                <w:sz w:val="16"/>
              </w:rPr>
              <w:t>0 verified solutions from 8,064 candidates.</w:t>
            </w:r>
          </w:p>
        </w:tc>
      </w:tr>
      <w:tr>
        <w:tc>
          <w:tcPr>
            <w:tcW w:type="dxa" w:w="3456"/>
            <w:vAlign w:val="center"/>
          </w:tcPr>
          <w:p>
            <w:r>
              <w:rPr>
                <w:sz w:val="16"/>
              </w:rPr>
              <w:t>V7</w:t>
            </w:r>
          </w:p>
        </w:tc>
        <w:tc>
          <w:tcPr>
            <w:tcW w:type="dxa" w:w="3456"/>
            <w:vAlign w:val="center"/>
          </w:tcPr>
          <w:p>
            <w:r>
              <w:rPr>
                <w:sz w:val="16"/>
              </w:rPr>
              <w:t>Validated negative</w:t>
            </w:r>
          </w:p>
        </w:tc>
        <w:tc>
          <w:tcPr>
            <w:tcW w:type="dxa" w:w="3456"/>
            <w:vAlign w:val="center"/>
          </w:tcPr>
          <w:p>
            <w:r>
              <w:rPr>
                <w:sz w:val="16"/>
              </w:rPr>
              <w:t>260-family curriculum did not lift 13M pass@1.</w:t>
            </w:r>
          </w:p>
        </w:tc>
      </w:tr>
      <w:tr>
        <w:tc>
          <w:tcPr>
            <w:tcW w:type="dxa" w:w="3456"/>
            <w:vAlign w:val="center"/>
          </w:tcPr>
          <w:p>
            <w:r>
              <w:rPr>
                <w:sz w:val="16"/>
              </w:rPr>
              <w:t>52M/SM3</w:t>
            </w:r>
          </w:p>
        </w:tc>
        <w:tc>
          <w:tcPr>
            <w:tcW w:type="dxa" w:w="3456"/>
            <w:vAlign w:val="center"/>
          </w:tcPr>
          <w:p>
            <w:r>
              <w:rPr>
                <w:sz w:val="16"/>
              </w:rPr>
              <w:t>Validated in scope</w:t>
            </w:r>
          </w:p>
        </w:tc>
        <w:tc>
          <w:tcPr>
            <w:tcW w:type="dxa" w:w="3456"/>
            <w:vAlign w:val="center"/>
          </w:tcPr>
          <w:p>
            <w:r>
              <w:rPr>
                <w:sz w:val="16"/>
              </w:rPr>
              <w:t>Capacity + canonical interface produced strong synthetic results.</w:t>
            </w:r>
          </w:p>
        </w:tc>
      </w:tr>
      <w:tr>
        <w:tc>
          <w:tcPr>
            <w:tcW w:type="dxa" w:w="3456"/>
            <w:vAlign w:val="center"/>
          </w:tcPr>
          <w:p>
            <w:r>
              <w:rPr>
                <w:sz w:val="16"/>
              </w:rPr>
              <w:t>V8</w:t>
            </w:r>
          </w:p>
        </w:tc>
        <w:tc>
          <w:tcPr>
            <w:tcW w:type="dxa" w:w="3456"/>
            <w:vAlign w:val="center"/>
          </w:tcPr>
          <w:p>
            <w:r>
              <w:rPr>
                <w:sz w:val="16"/>
              </w:rPr>
              <w:t>Invalidated</w:t>
            </w:r>
          </w:p>
        </w:tc>
        <w:tc>
          <w:tcPr>
            <w:tcW w:type="dxa" w:w="3456"/>
            <w:vAlign w:val="center"/>
          </w:tcPr>
          <w:p>
            <w:r>
              <w:rPr>
                <w:sz w:val="16"/>
              </w:rPr>
              <w:t>Schema bug dropped task specifications; no promotion.</w:t>
            </w:r>
          </w:p>
        </w:tc>
      </w:tr>
      <w:tr>
        <w:tc>
          <w:tcPr>
            <w:tcW w:type="dxa" w:w="3456"/>
            <w:vAlign w:val="center"/>
          </w:tcPr>
          <w:p>
            <w:r>
              <w:rPr>
                <w:sz w:val="16"/>
              </w:rPr>
              <w:t>Next</w:t>
            </w:r>
          </w:p>
        </w:tc>
        <w:tc>
          <w:tcPr>
            <w:tcW w:type="dxa" w:w="3456"/>
            <w:vAlign w:val="center"/>
          </w:tcPr>
          <w:p>
            <w:r>
              <w:rPr>
                <w:sz w:val="16"/>
              </w:rPr>
              <w:t>Designed</w:t>
            </w:r>
          </w:p>
        </w:tc>
        <w:tc>
          <w:tcPr>
            <w:tcW w:type="dxa" w:w="3456"/>
            <w:vAlign w:val="center"/>
          </w:tcPr>
          <w:p>
            <w:r>
              <w:rPr>
                <w:sz w:val="16"/>
              </w:rPr>
              <w:t>Autonomous specification-to-IR planning.</w:t>
            </w:r>
          </w:p>
        </w:tc>
      </w:tr>
    </w:tbl>
    <w:p>
      <w:pPr>
        <w:pStyle w:val="Heading1"/>
      </w:pPr>
      <w:r>
        <w:t>3. Quantitative milestones</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shd w:fill="E9EFF4"/>
          </w:tcPr>
          <w:p>
            <w:r>
              <w:rPr>
                <w:b/>
                <w:sz w:val="17"/>
              </w:rPr>
              <w:t>Milestone</w:t>
            </w:r>
          </w:p>
        </w:tc>
        <w:tc>
          <w:tcPr>
            <w:tcW w:type="dxa" w:w="2592"/>
            <w:shd w:fill="E9EFF4"/>
          </w:tcPr>
          <w:p>
            <w:r>
              <w:rPr>
                <w:b/>
                <w:sz w:val="17"/>
              </w:rPr>
              <w:t>Model</w:t>
            </w:r>
          </w:p>
        </w:tc>
        <w:tc>
          <w:tcPr>
            <w:tcW w:type="dxa" w:w="2592"/>
            <w:shd w:fill="E9EFF4"/>
          </w:tcPr>
          <w:p>
            <w:r>
              <w:rPr>
                <w:b/>
                <w:sz w:val="17"/>
              </w:rPr>
              <w:t>Selected measurement</w:t>
            </w:r>
          </w:p>
        </w:tc>
        <w:tc>
          <w:tcPr>
            <w:tcW w:type="dxa" w:w="2592"/>
            <w:shd w:fill="E9EFF4"/>
          </w:tcPr>
          <w:p>
            <w:r>
              <w:rPr>
                <w:b/>
                <w:sz w:val="17"/>
              </w:rPr>
              <w:t>Interpretation</w:t>
            </w:r>
          </w:p>
        </w:tc>
      </w:tr>
      <w:tr>
        <w:tc>
          <w:tcPr>
            <w:tcW w:type="dxa" w:w="2592"/>
            <w:vAlign w:val="center"/>
          </w:tcPr>
          <w:p>
            <w:r>
              <w:rPr>
                <w:sz w:val="16"/>
              </w:rPr>
              <w:t>A-to-Z smoke</w:t>
            </w:r>
          </w:p>
        </w:tc>
        <w:tc>
          <w:tcPr>
            <w:tcW w:type="dxa" w:w="2592"/>
            <w:vAlign w:val="center"/>
          </w:tcPr>
          <w:p>
            <w:r>
              <w:rPr>
                <w:sz w:val="16"/>
              </w:rPr>
              <w:t>12.66M</w:t>
            </w:r>
          </w:p>
        </w:tc>
        <w:tc>
          <w:tcPr>
            <w:tcW w:type="dxa" w:w="2592"/>
            <w:vAlign w:val="center"/>
          </w:tcPr>
          <w:p>
            <w:r>
              <w:rPr>
                <w:sz w:val="16"/>
              </w:rPr>
              <w:t>Pretrain 9.7476 -&gt; 5.8610; SFT 6.6090 -&gt; 2.2739</w:t>
            </w:r>
          </w:p>
        </w:tc>
        <w:tc>
          <w:tcPr>
            <w:tcW w:type="dxa" w:w="2592"/>
            <w:vAlign w:val="center"/>
          </w:tcPr>
          <w:p>
            <w:r>
              <w:rPr>
                <w:sz w:val="16"/>
              </w:rPr>
              <w:t>Pipeline proof, not capability proof.</w:t>
            </w:r>
          </w:p>
        </w:tc>
      </w:tr>
      <w:tr>
        <w:tc>
          <w:tcPr>
            <w:tcW w:type="dxa" w:w="2592"/>
            <w:vAlign w:val="center"/>
          </w:tcPr>
          <w:p>
            <w:r>
              <w:rPr>
                <w:sz w:val="16"/>
              </w:rPr>
              <w:t>V3.2</w:t>
            </w:r>
          </w:p>
        </w:tc>
        <w:tc>
          <w:tcPr>
            <w:tcW w:type="dxa" w:w="2592"/>
            <w:vAlign w:val="center"/>
          </w:tcPr>
          <w:p>
            <w:r>
              <w:rPr>
                <w:sz w:val="16"/>
              </w:rPr>
              <w:t>12.72M</w:t>
            </w:r>
          </w:p>
        </w:tc>
        <w:tc>
          <w:tcPr>
            <w:tcW w:type="dxa" w:w="2592"/>
            <w:vAlign w:val="center"/>
          </w:tcPr>
          <w:p>
            <w:r>
              <w:rPr>
                <w:sz w:val="16"/>
              </w:rPr>
              <w:t>Validation 5.8361 -&gt; 5.1485</w:t>
            </w:r>
          </w:p>
        </w:tc>
        <w:tc>
          <w:tcPr>
            <w:tcW w:type="dxa" w:w="2592"/>
            <w:vAlign w:val="center"/>
          </w:tcPr>
          <w:p>
            <w:r>
              <w:rPr>
                <w:sz w:val="16"/>
              </w:rPr>
              <w:t>Technically stable, data-constrained.</w:t>
            </w:r>
          </w:p>
        </w:tc>
      </w:tr>
      <w:tr>
        <w:tc>
          <w:tcPr>
            <w:tcW w:type="dxa" w:w="2592"/>
            <w:vAlign w:val="center"/>
          </w:tcPr>
          <w:p>
            <w:r>
              <w:rPr>
                <w:sz w:val="16"/>
              </w:rPr>
              <w:t>V4.1</w:t>
            </w:r>
          </w:p>
        </w:tc>
        <w:tc>
          <w:tcPr>
            <w:tcW w:type="dxa" w:w="2592"/>
            <w:vAlign w:val="center"/>
          </w:tcPr>
          <w:p>
            <w:r>
              <w:rPr>
                <w:sz w:val="16"/>
              </w:rPr>
              <w:t>12.72M</w:t>
            </w:r>
          </w:p>
        </w:tc>
        <w:tc>
          <w:tcPr>
            <w:tcW w:type="dxa" w:w="2592"/>
            <w:vAlign w:val="center"/>
          </w:tcPr>
          <w:p>
            <w:r>
              <w:rPr>
                <w:sz w:val="16"/>
              </w:rPr>
              <w:t>5.0340 -&gt; 4.8261; pass@1=0</w:t>
            </w:r>
          </w:p>
        </w:tc>
        <w:tc>
          <w:tcPr>
            <w:tcW w:type="dxa" w:w="2592"/>
            <w:vAlign w:val="center"/>
          </w:tcPr>
          <w:p>
            <w:r>
              <w:rPr>
                <w:sz w:val="16"/>
              </w:rPr>
              <w:t>Loss improved without executable capability.</w:t>
            </w:r>
          </w:p>
        </w:tc>
      </w:tr>
      <w:tr>
        <w:tc>
          <w:tcPr>
            <w:tcW w:type="dxa" w:w="2592"/>
            <w:vAlign w:val="center"/>
          </w:tcPr>
          <w:p>
            <w:r>
              <w:rPr>
                <w:sz w:val="16"/>
              </w:rPr>
              <w:t>V5</w:t>
            </w:r>
          </w:p>
        </w:tc>
        <w:tc>
          <w:tcPr>
            <w:tcW w:type="dxa" w:w="2592"/>
            <w:vAlign w:val="center"/>
          </w:tcPr>
          <w:p>
            <w:r>
              <w:rPr>
                <w:sz w:val="16"/>
              </w:rPr>
              <w:t>12.72M</w:t>
            </w:r>
          </w:p>
        </w:tc>
        <w:tc>
          <w:tcPr>
            <w:tcW w:type="dxa" w:w="2592"/>
            <w:vAlign w:val="center"/>
          </w:tcPr>
          <w:p>
            <w:r>
              <w:rPr>
                <w:sz w:val="16"/>
              </w:rPr>
              <w:t>Router macro-F1 0.8958; code=0</w:t>
            </w:r>
          </w:p>
        </w:tc>
        <w:tc>
          <w:tcPr>
            <w:tcW w:type="dxa" w:w="2592"/>
            <w:vAlign w:val="center"/>
          </w:tcPr>
          <w:p>
            <w:r>
              <w:rPr>
                <w:sz w:val="16"/>
              </w:rPr>
              <w:t>Policy separable from code skill.</w:t>
            </w:r>
          </w:p>
        </w:tc>
      </w:tr>
      <w:tr>
        <w:tc>
          <w:tcPr>
            <w:tcW w:type="dxa" w:w="2592"/>
            <w:vAlign w:val="center"/>
          </w:tcPr>
          <w:p>
            <w:r>
              <w:rPr>
                <w:sz w:val="16"/>
              </w:rPr>
              <w:t>V6</w:t>
            </w:r>
          </w:p>
        </w:tc>
        <w:tc>
          <w:tcPr>
            <w:tcW w:type="dxa" w:w="2592"/>
            <w:vAlign w:val="center"/>
          </w:tcPr>
          <w:p>
            <w:r>
              <w:rPr>
                <w:sz w:val="16"/>
              </w:rPr>
              <w:t>12.72M</w:t>
            </w:r>
          </w:p>
        </w:tc>
        <w:tc>
          <w:tcPr>
            <w:tcW w:type="dxa" w:w="2592"/>
            <w:vAlign w:val="center"/>
          </w:tcPr>
          <w:p>
            <w:r>
              <w:rPr>
                <w:sz w:val="16"/>
              </w:rPr>
              <w:t>0/8,064 verified samples</w:t>
            </w:r>
          </w:p>
        </w:tc>
        <w:tc>
          <w:tcPr>
            <w:tcW w:type="dxa" w:w="2592"/>
            <w:vAlign w:val="center"/>
          </w:tcPr>
          <w:p>
            <w:r>
              <w:rPr>
                <w:sz w:val="16"/>
              </w:rPr>
              <w:t>Self-distillation too early.</w:t>
            </w:r>
          </w:p>
        </w:tc>
      </w:tr>
      <w:tr>
        <w:tc>
          <w:tcPr>
            <w:tcW w:type="dxa" w:w="2592"/>
            <w:vAlign w:val="center"/>
          </w:tcPr>
          <w:p>
            <w:r>
              <w:rPr>
                <w:sz w:val="16"/>
              </w:rPr>
              <w:t>V7</w:t>
            </w:r>
          </w:p>
        </w:tc>
        <w:tc>
          <w:tcPr>
            <w:tcW w:type="dxa" w:w="2592"/>
            <w:vAlign w:val="center"/>
          </w:tcPr>
          <w:p>
            <w:r>
              <w:rPr>
                <w:sz w:val="16"/>
              </w:rPr>
              <w:t>12.72M</w:t>
            </w:r>
          </w:p>
        </w:tc>
        <w:tc>
          <w:tcPr>
            <w:tcW w:type="dxa" w:w="2592"/>
            <w:vAlign w:val="center"/>
          </w:tcPr>
          <w:p>
            <w:r>
              <w:rPr>
                <w:sz w:val="16"/>
              </w:rPr>
              <w:t>260 families; code=0</w:t>
            </w:r>
          </w:p>
        </w:tc>
        <w:tc>
          <w:tcPr>
            <w:tcW w:type="dxa" w:w="2592"/>
            <w:vAlign w:val="center"/>
          </w:tcPr>
          <w:p>
            <w:r>
              <w:rPr>
                <w:sz w:val="16"/>
              </w:rPr>
              <w:t>Practical 13M capacity wall.</w:t>
            </w:r>
          </w:p>
        </w:tc>
      </w:tr>
      <w:tr>
        <w:tc>
          <w:tcPr>
            <w:tcW w:type="dxa" w:w="2592"/>
            <w:vAlign w:val="center"/>
          </w:tcPr>
          <w:p>
            <w:r>
              <w:rPr>
                <w:sz w:val="16"/>
              </w:rPr>
              <w:t>Raw capacity probe</w:t>
            </w:r>
          </w:p>
        </w:tc>
        <w:tc>
          <w:tcPr>
            <w:tcW w:type="dxa" w:w="2592"/>
            <w:vAlign w:val="center"/>
          </w:tcPr>
          <w:p>
            <w:r>
              <w:rPr>
                <w:sz w:val="16"/>
              </w:rPr>
              <w:t>~52.6M</w:t>
            </w:r>
          </w:p>
        </w:tc>
        <w:tc>
          <w:tcPr>
            <w:tcW w:type="dxa" w:w="2592"/>
            <w:vAlign w:val="center"/>
          </w:tcPr>
          <w:p>
            <w:r>
              <w:rPr>
                <w:sz w:val="16"/>
              </w:rPr>
              <w:t>52% pass@1 on n=100 synthetic sample</w:t>
            </w:r>
          </w:p>
        </w:tc>
        <w:tc>
          <w:tcPr>
            <w:tcW w:type="dxa" w:w="2592"/>
            <w:vAlign w:val="center"/>
          </w:tcPr>
          <w:p>
            <w:r>
              <w:rPr>
                <w:sz w:val="16"/>
              </w:rPr>
              <w:t>Capacity mattered.</w:t>
            </w:r>
          </w:p>
        </w:tc>
      </w:tr>
      <w:tr>
        <w:tc>
          <w:tcPr>
            <w:tcW w:type="dxa" w:w="2592"/>
            <w:vAlign w:val="center"/>
          </w:tcPr>
          <w:p>
            <w:r>
              <w:rPr>
                <w:sz w:val="16"/>
              </w:rPr>
              <w:t>Canonical + AST</w:t>
            </w:r>
          </w:p>
        </w:tc>
        <w:tc>
          <w:tcPr>
            <w:tcW w:type="dxa" w:w="2592"/>
            <w:vAlign w:val="center"/>
          </w:tcPr>
          <w:p>
            <w:r>
              <w:rPr>
                <w:sz w:val="16"/>
              </w:rPr>
              <w:t>~52.6M</w:t>
            </w:r>
          </w:p>
        </w:tc>
        <w:tc>
          <w:tcPr>
            <w:tcW w:type="dxa" w:w="2592"/>
            <w:vAlign w:val="center"/>
          </w:tcPr>
          <w:p>
            <w:r>
              <w:rPr>
                <w:sz w:val="16"/>
              </w:rPr>
              <w:t>83% test; 94% robustness; 100% syntax</w:t>
            </w:r>
          </w:p>
        </w:tc>
        <w:tc>
          <w:tcPr>
            <w:tcW w:type="dxa" w:w="2592"/>
            <w:vAlign w:val="center"/>
          </w:tcPr>
          <w:p>
            <w:r>
              <w:rPr>
                <w:sz w:val="16"/>
              </w:rPr>
              <w:t>Interface mattered as much as scale.</w:t>
            </w:r>
          </w:p>
        </w:tc>
      </w:tr>
      <w:tr>
        <w:tc>
          <w:tcPr>
            <w:tcW w:type="dxa" w:w="2592"/>
            <w:vAlign w:val="center"/>
          </w:tcPr>
          <w:p>
            <w:r>
              <w:rPr>
                <w:sz w:val="16"/>
              </w:rPr>
              <w:t>Structural curriculum</w:t>
            </w:r>
          </w:p>
        </w:tc>
        <w:tc>
          <w:tcPr>
            <w:tcW w:type="dxa" w:w="2592"/>
            <w:vAlign w:val="center"/>
          </w:tcPr>
          <w:p>
            <w:r>
              <w:rPr>
                <w:sz w:val="16"/>
              </w:rPr>
              <w:t>~52.6M</w:t>
            </w:r>
          </w:p>
        </w:tc>
        <w:tc>
          <w:tcPr>
            <w:tcW w:type="dxa" w:w="2592"/>
            <w:vAlign w:val="center"/>
          </w:tcPr>
          <w:p>
            <w:r>
              <w:rPr>
                <w:sz w:val="16"/>
              </w:rPr>
              <w:t>0/6 -&gt; 5/6; held-out ~99%</w:t>
            </w:r>
          </w:p>
        </w:tc>
        <w:tc>
          <w:tcPr>
            <w:tcW w:type="dxa" w:w="2592"/>
            <w:vAlign w:val="center"/>
          </w:tcPr>
          <w:p>
            <w:r>
              <w:rPr>
                <w:sz w:val="16"/>
              </w:rPr>
              <w:t>Program structure must be covered.</w:t>
            </w:r>
          </w:p>
        </w:tc>
      </w:tr>
    </w:tbl>
    <w:p>
      <w:pPr>
        <w:jc w:val="center"/>
      </w:pPr>
      <w:r>
        <w:drawing>
          <wp:inline xmlns:a="http://schemas.openxmlformats.org/drawingml/2006/main" xmlns:pic="http://schemas.openxmlformats.org/drawingml/2006/picture">
            <wp:extent cx="6400800" cy="3520440"/>
            <wp:docPr id="3" name="Picture 3"/>
            <wp:cNvGraphicFramePr>
              <a:graphicFrameLocks noChangeAspect="1"/>
            </wp:cNvGraphicFramePr>
            <a:graphic>
              <a:graphicData uri="http://schemas.openxmlformats.org/drawingml/2006/picture">
                <pic:pic>
                  <pic:nvPicPr>
                    <pic:cNvPr id="0" name="capability_progression.png"/>
                    <pic:cNvPicPr/>
                  </pic:nvPicPr>
                  <pic:blipFill>
                    <a:blip r:embed="rId10"/>
                    <a:stretch>
                      <a:fillRect/>
                    </a:stretch>
                  </pic:blipFill>
                  <pic:spPr>
                    <a:xfrm>
                      <a:off x="0" y="0"/>
                      <a:ext cx="6400800" cy="3520440"/>
                    </a:xfrm>
                    <a:prstGeom prst="rect"/>
                  </pic:spPr>
                </pic:pic>
              </a:graphicData>
            </a:graphic>
          </wp:inline>
        </w:drawing>
      </w:r>
    </w:p>
    <w:p>
      <w:pPr>
        <w:jc w:val="center"/>
      </w:pPr>
      <w:r>
        <w:rPr>
          <w:i/>
          <w:sz w:val="17"/>
        </w:rPr>
        <w:t>Figure 1. Selected synthetic capability progression. Metrics are not directly comparable to public coding benchmarks.</w:t>
      </w:r>
    </w:p>
    <w:p>
      <w:pPr>
        <w:pStyle w:val="Heading1"/>
      </w:pPr>
      <w:r>
        <w:t>4. What actually moved capability</w:t>
      </w:r>
    </w:p>
    <w:p>
      <w:pPr>
        <w:pStyle w:val="Heading2"/>
      </w:pPr>
      <w:r>
        <w:t>Capacity</w:t>
      </w:r>
    </w:p>
    <w:p>
      <w:r>
        <w:t>The 13M model remained at zero executable pass@1 even after a verified curriculum. A 52M probe crossed the wall, establishing a practical minimum scale for the current data family.</w:t>
      </w:r>
    </w:p>
    <w:p>
      <w:pPr>
        <w:pStyle w:val="Heading2"/>
      </w:pPr>
      <w:r>
        <w:t>Interface</w:t>
      </w:r>
    </w:p>
    <w:p>
      <w:r>
        <w:t>Canonical signatures and deterministic AST rebinding removed arbitrary identifier copying from the model task. This produced the largest single capability jump.</w:t>
      </w:r>
    </w:p>
    <w:p>
      <w:pPr>
        <w:pStyle w:val="Heading2"/>
      </w:pPr>
      <w:r>
        <w:t>Structure and depth</w:t>
      </w:r>
    </w:p>
    <w:p>
      <w:r>
        <w:t>Adding more values inside one template did not teach new program structures. Explicitly varying order, repeated filters/maps, and depth expanded the useful region.</w:t>
      </w:r>
    </w:p>
    <w:p>
      <w:pPr>
        <w:pStyle w:val="Heading2"/>
      </w:pPr>
      <w:r>
        <w:t>Verification</w:t>
      </w:r>
    </w:p>
    <w:p>
      <w:r>
        <w:t>AST checks, sandboxed assertions, validation-only promotion, and lineage hashes prevented invalid candidates from replacing working checkpoints.</w:t>
      </w:r>
    </w:p>
    <w:p>
      <w:pPr>
        <w:pStyle w:val="Heading2"/>
      </w:pPr>
      <w:r>
        <w:t>Self-training</w:t>
      </w:r>
    </w:p>
    <w:p>
      <w:r>
        <w:t>Verified replay improved greedy performance only when correct sampled trajectories existed. It stopped helping once pass@1 reached pass@32.</w:t>
      </w:r>
    </w:p>
    <w:p>
      <w:pPr>
        <w:pStyle w:val="Heading1"/>
      </w:pPr>
      <w:r>
        <w:t>5. Depth generalization</w:t>
      </w:r>
    </w:p>
    <w:p>
      <w:pPr>
        <w:jc w:val="center"/>
      </w:pPr>
      <w:r>
        <w:drawing>
          <wp:inline xmlns:a="http://schemas.openxmlformats.org/drawingml/2006/main" xmlns:pic="http://schemas.openxmlformats.org/drawingml/2006/picture">
            <wp:extent cx="6400800" cy="3705726"/>
            <wp:docPr id="4" name="Picture 4"/>
            <wp:cNvGraphicFramePr>
              <a:graphicFrameLocks noChangeAspect="1"/>
            </wp:cNvGraphicFramePr>
            <a:graphic>
              <a:graphicData uri="http://schemas.openxmlformats.org/drawingml/2006/picture">
                <pic:pic>
                  <pic:nvPicPr>
                    <pic:cNvPr id="0" name="depth_generalization.png"/>
                    <pic:cNvPicPr/>
                  </pic:nvPicPr>
                  <pic:blipFill>
                    <a:blip r:embed="rId11"/>
                    <a:stretch>
                      <a:fillRect/>
                    </a:stretch>
                  </pic:blipFill>
                  <pic:spPr>
                    <a:xfrm>
                      <a:off x="0" y="0"/>
                      <a:ext cx="6400800" cy="3705726"/>
                    </a:xfrm>
                    <a:prstGeom prst="rect"/>
                  </pic:spPr>
                </pic:pic>
              </a:graphicData>
            </a:graphic>
          </wp:inline>
        </w:drawing>
      </w:r>
    </w:p>
    <w:p>
      <w:r>
        <w:t>Coverage pushed the boundary outward and softened the drop, but did not create unlimited extrapolation. Reported points come from separate synthetic evaluation batches and should be treated as representative rather than a single unified benchmark run.</w:t>
      </w:r>
    </w:p>
    <w:p>
      <w:pPr>
        <w:pStyle w:val="Heading1"/>
      </w:pPr>
      <w:r>
        <w:t>6. Hardware findings</w:t>
      </w:r>
    </w:p>
    <w:p>
      <w:pPr>
        <w:jc w:val="center"/>
      </w:pPr>
      <w:r>
        <w:drawing>
          <wp:inline xmlns:a="http://schemas.openxmlformats.org/drawingml/2006/main" xmlns:pic="http://schemas.openxmlformats.org/drawingml/2006/picture">
            <wp:extent cx="6217920" cy="3657600"/>
            <wp:docPr id="5" name="Picture 5"/>
            <wp:cNvGraphicFramePr>
              <a:graphicFrameLocks noChangeAspect="1"/>
            </wp:cNvGraphicFramePr>
            <a:graphic>
              <a:graphicData uri="http://schemas.openxmlformats.org/drawingml/2006/picture">
                <pic:pic>
                  <pic:nvPicPr>
                    <pic:cNvPr id="0" name="hardware_gemm.png"/>
                    <pic:cNvPicPr/>
                  </pic:nvPicPr>
                  <pic:blipFill>
                    <a:blip r:embed="rId12"/>
                    <a:stretch>
                      <a:fillRect/>
                    </a:stretch>
                  </pic:blipFill>
                  <pic:spPr>
                    <a:xfrm>
                      <a:off x="0" y="0"/>
                      <a:ext cx="6217920" cy="3657600"/>
                    </a:xfrm>
                    <a:prstGeom prst="rect"/>
                  </pic:spPr>
                </pic:pic>
              </a:graphicData>
            </a:graphic>
          </wp:inline>
        </w:drawing>
      </w:r>
    </w:p>
    <w:p>
      <w:pPr>
        <w:jc w:val="center"/>
      </w:pPr>
      <w:r>
        <w:drawing>
          <wp:inline xmlns:a="http://schemas.openxmlformats.org/drawingml/2006/main" xmlns:pic="http://schemas.openxmlformats.org/drawingml/2006/picture">
            <wp:extent cx="6217920" cy="3657600"/>
            <wp:docPr id="6" name="Picture 6"/>
            <wp:cNvGraphicFramePr>
              <a:graphicFrameLocks noChangeAspect="1"/>
            </wp:cNvGraphicFramePr>
            <a:graphic>
              <a:graphicData uri="http://schemas.openxmlformats.org/drawingml/2006/picture">
                <pic:pic>
                  <pic:nvPicPr>
                    <pic:cNvPr id="0" name="hardware_end_to_end.png"/>
                    <pic:cNvPicPr/>
                  </pic:nvPicPr>
                  <pic:blipFill>
                    <a:blip r:embed="rId13"/>
                    <a:stretch>
                      <a:fillRect/>
                    </a:stretch>
                  </pic:blipFill>
                  <pic:spPr>
                    <a:xfrm>
                      <a:off x="0" y="0"/>
                      <a:ext cx="6217920" cy="3657600"/>
                    </a:xfrm>
                    <a:prstGeom prst="rect"/>
                  </pic:spPr>
                </pic:pic>
              </a:graphicData>
            </a:graphic>
          </wp:inline>
        </w:drawing>
      </w:r>
    </w:p>
    <w:tbl>
      <w:tblPr>
        <w:tblStyle w:val="TableGrid"/>
        <w:tblW w:type="auto" w:w="0"/>
        <w:jc w:val="center"/>
        <w:tblLook w:firstColumn="1" w:firstRow="1" w:lastColumn="0" w:lastRow="0" w:noHBand="0" w:noVBand="1" w:val="04A0"/>
      </w:tblPr>
      <w:tblGrid>
        <w:gridCol w:w="3456"/>
        <w:gridCol w:w="3456"/>
        <w:gridCol w:w="3456"/>
      </w:tblGrid>
      <w:tr>
        <w:tc>
          <w:tcPr>
            <w:tcW w:type="dxa" w:w="3456"/>
            <w:shd w:fill="E9EFF4"/>
          </w:tcPr>
          <w:p>
            <w:r>
              <w:rPr>
                <w:b/>
                <w:sz w:val="17"/>
              </w:rPr>
              <w:t>Measurement</w:t>
            </w:r>
          </w:p>
        </w:tc>
        <w:tc>
          <w:tcPr>
            <w:tcW w:type="dxa" w:w="3456"/>
            <w:shd w:fill="E9EFF4"/>
          </w:tcPr>
          <w:p>
            <w:r>
              <w:rPr>
                <w:b/>
                <w:sz w:val="17"/>
              </w:rPr>
              <w:t>Result</w:t>
            </w:r>
          </w:p>
        </w:tc>
        <w:tc>
          <w:tcPr>
            <w:tcW w:type="dxa" w:w="3456"/>
            <w:shd w:fill="E9EFF4"/>
          </w:tcPr>
          <w:p>
            <w:r>
              <w:rPr>
                <w:b/>
                <w:sz w:val="17"/>
              </w:rPr>
              <w:t>Meaning</w:t>
            </w:r>
          </w:p>
        </w:tc>
      </w:tr>
      <w:tr>
        <w:tc>
          <w:tcPr>
            <w:tcW w:type="dxa" w:w="3456"/>
            <w:vAlign w:val="center"/>
          </w:tcPr>
          <w:p>
            <w:r>
              <w:rPr>
                <w:sz w:val="16"/>
              </w:rPr>
              <w:t>Raw BF16 FFN GEMM</w:t>
            </w:r>
          </w:p>
        </w:tc>
        <w:tc>
          <w:tcPr>
            <w:tcW w:type="dxa" w:w="3456"/>
            <w:vAlign w:val="center"/>
          </w:tcPr>
          <w:p>
            <w:r>
              <w:rPr>
                <w:sz w:val="16"/>
              </w:rPr>
              <w:t>413.1 TFLOP/s</w:t>
            </w:r>
          </w:p>
        </w:tc>
        <w:tc>
          <w:tcPr>
            <w:tcW w:type="dxa" w:w="3456"/>
            <w:vAlign w:val="center"/>
          </w:tcPr>
          <w:p>
            <w:r>
              <w:rPr>
                <w:sz w:val="16"/>
              </w:rPr>
              <w:t>Approximate matrix-kernel ceiling.</w:t>
            </w:r>
          </w:p>
        </w:tc>
      </w:tr>
      <w:tr>
        <w:tc>
          <w:tcPr>
            <w:tcW w:type="dxa" w:w="3456"/>
            <w:vAlign w:val="center"/>
          </w:tcPr>
          <w:p>
            <w:r>
              <w:rPr>
                <w:sz w:val="16"/>
              </w:rPr>
              <w:t>Raw FP8 FFN GEMM</w:t>
            </w:r>
          </w:p>
        </w:tc>
        <w:tc>
          <w:tcPr>
            <w:tcW w:type="dxa" w:w="3456"/>
            <w:vAlign w:val="center"/>
          </w:tcPr>
          <w:p>
            <w:r>
              <w:rPr>
                <w:sz w:val="16"/>
              </w:rPr>
              <w:t>781.9 TFLOP/s</w:t>
            </w:r>
          </w:p>
        </w:tc>
        <w:tc>
          <w:tcPr>
            <w:tcW w:type="dxa" w:w="3456"/>
            <w:vAlign w:val="center"/>
          </w:tcPr>
          <w:p>
            <w:r>
              <w:rPr>
                <w:sz w:val="16"/>
              </w:rPr>
              <w:t>Large theoretical headroom.</w:t>
            </w:r>
          </w:p>
        </w:tc>
      </w:tr>
      <w:tr>
        <w:tc>
          <w:tcPr>
            <w:tcW w:type="dxa" w:w="3456"/>
            <w:vAlign w:val="center"/>
          </w:tcPr>
          <w:p>
            <w:r>
              <w:rPr>
                <w:sz w:val="16"/>
              </w:rPr>
              <w:t>Peak sustained transformer</w:t>
            </w:r>
          </w:p>
        </w:tc>
        <w:tc>
          <w:tcPr>
            <w:tcW w:type="dxa" w:w="3456"/>
            <w:vAlign w:val="center"/>
          </w:tcPr>
          <w:p>
            <w:r>
              <w:rPr>
                <w:sz w:val="16"/>
              </w:rPr>
              <w:t>224.7 TFLOP/s, MFU 0.547</w:t>
            </w:r>
          </w:p>
        </w:tc>
        <w:tc>
          <w:tcPr>
            <w:tcW w:type="dxa" w:w="3456"/>
            <w:vAlign w:val="center"/>
          </w:tcPr>
          <w:p>
            <w:r>
              <w:rPr>
                <w:sz w:val="16"/>
              </w:rPr>
              <w:t>Measured at ~1.445B parameters.</w:t>
            </w:r>
          </w:p>
        </w:tc>
      </w:tr>
      <w:tr>
        <w:tc>
          <w:tcPr>
            <w:tcW w:type="dxa" w:w="3456"/>
            <w:vAlign w:val="center"/>
          </w:tcPr>
          <w:p>
            <w:r>
              <w:rPr>
                <w:sz w:val="16"/>
              </w:rPr>
              <w:t>BF16 end-to-end ~0.44B</w:t>
            </w:r>
          </w:p>
        </w:tc>
        <w:tc>
          <w:tcPr>
            <w:tcW w:type="dxa" w:w="3456"/>
            <w:vAlign w:val="center"/>
          </w:tcPr>
          <w:p>
            <w:r>
              <w:rPr>
                <w:sz w:val="16"/>
              </w:rPr>
              <w:t>72,431 token/s</w:t>
            </w:r>
          </w:p>
        </w:tc>
        <w:tc>
          <w:tcPr>
            <w:tcW w:type="dxa" w:w="3456"/>
            <w:vAlign w:val="center"/>
          </w:tcPr>
          <w:p>
            <w:r>
              <w:rPr>
                <w:sz w:val="16"/>
              </w:rPr>
              <w:t>Fast, stable baseline.</w:t>
            </w:r>
          </w:p>
        </w:tc>
      </w:tr>
      <w:tr>
        <w:tc>
          <w:tcPr>
            <w:tcW w:type="dxa" w:w="3456"/>
            <w:vAlign w:val="center"/>
          </w:tcPr>
          <w:p>
            <w:r>
              <w:rPr>
                <w:sz w:val="16"/>
              </w:rPr>
              <w:t>Naive FP8 end-to-end ~0.44B</w:t>
            </w:r>
          </w:p>
        </w:tc>
        <w:tc>
          <w:tcPr>
            <w:tcW w:type="dxa" w:w="3456"/>
            <w:vAlign w:val="center"/>
          </w:tcPr>
          <w:p>
            <w:r>
              <w:rPr>
                <w:sz w:val="16"/>
              </w:rPr>
              <w:t>22,688 token/s</w:t>
            </w:r>
          </w:p>
        </w:tc>
        <w:tc>
          <w:tcPr>
            <w:tcW w:type="dxa" w:w="3456"/>
            <w:vAlign w:val="center"/>
          </w:tcPr>
          <w:p>
            <w:r>
              <w:rPr>
                <w:sz w:val="16"/>
              </w:rPr>
              <w:t>Custom unfused FP8 path lost to overhead.</w:t>
            </w:r>
          </w:p>
        </w:tc>
      </w:tr>
    </w:tbl>
    <w:p>
      <w:pPr>
        <w:pStyle w:val="Heading1"/>
      </w:pPr>
      <w:r>
        <w:t>7. Reliability and invalidated evidence</w:t>
      </w:r>
    </w:p>
    <w:p>
      <w:r>
        <w:t>The official V8 run silently dropped task descriptions because a transformation expected a field that did not exist in the stored JSONL schema. The resulting near-zero metrics are invalid as capability evidence. The candidate was not promoted, demonstrating the value of a validation gate and independent probe.</w:t>
      </w:r>
    </w:p>
    <w:p>
      <w:r>
        <w:t>A separate inference decomposition reached 100% at much larger synthetic depths only because the harness already possessed the correct operation list. The proper description is oracle decomposition, not autonomous reasoning.</w:t>
      </w:r>
    </w:p>
    <w:p>
      <w:pPr>
        <w:pStyle w:val="Heading1"/>
      </w:pPr>
      <w:r>
        <w:t>8. System direction</w:t>
      </w:r>
    </w:p>
    <w:p>
      <w:pPr>
        <w:jc w:val="center"/>
      </w:pPr>
      <w:r>
        <w:drawing>
          <wp:inline xmlns:a="http://schemas.openxmlformats.org/drawingml/2006/main" xmlns:pic="http://schemas.openxmlformats.org/drawingml/2006/picture">
            <wp:extent cx="6583680" cy="3056709"/>
            <wp:docPr id="7" name="Picture 7"/>
            <wp:cNvGraphicFramePr>
              <a:graphicFrameLocks noChangeAspect="1"/>
            </wp:cNvGraphicFramePr>
            <a:graphic>
              <a:graphicData uri="http://schemas.openxmlformats.org/drawingml/2006/picture">
                <pic:pic>
                  <pic:nvPicPr>
                    <pic:cNvPr id="0" name="system_architecture.png"/>
                    <pic:cNvPicPr/>
                  </pic:nvPicPr>
                  <pic:blipFill>
                    <a:blip r:embed="rId14"/>
                    <a:stretch>
                      <a:fillRect/>
                    </a:stretch>
                  </pic:blipFill>
                  <pic:spPr>
                    <a:xfrm>
                      <a:off x="0" y="0"/>
                      <a:ext cx="6583680" cy="3056709"/>
                    </a:xfrm>
                    <a:prstGeom prst="rect"/>
                  </pic:spPr>
                </pic:pic>
              </a:graphicData>
            </a:graphic>
          </wp:inline>
        </w:drawing>
      </w:r>
    </w:p>
    <w:p>
      <w:r>
        <w:t>The emerging system is not only a decoder. It combines a small model, policy router, deterministic interface, execution verifier, persistent checkpoints, and validation-only promotion. The next missing component is an autonomous specification-to-IR planner.</w:t>
      </w:r>
    </w:p>
    <w:p>
      <w:pPr>
        <w:pStyle w:val="Heading1"/>
      </w:pPr>
      <w:r>
        <w:t>9. Public claims and limitations</w:t>
      </w:r>
    </w:p>
    <w:tbl>
      <w:tblPr>
        <w:tblStyle w:val="TableGrid"/>
        <w:tblW w:type="auto" w:w="0"/>
        <w:jc w:val="center"/>
        <w:tblLook w:firstColumn="1" w:firstRow="1" w:lastColumn="0" w:lastRow="0" w:noHBand="0" w:noVBand="1" w:val="04A0"/>
      </w:tblPr>
      <w:tblGrid>
        <w:gridCol w:w="5184"/>
        <w:gridCol w:w="5184"/>
      </w:tblGrid>
      <w:tr>
        <w:tc>
          <w:tcPr>
            <w:tcW w:type="dxa" w:w="5184"/>
            <w:shd w:fill="E9EFF4"/>
          </w:tcPr>
          <w:p>
            <w:r>
              <w:rPr>
                <w:b/>
                <w:sz w:val="17"/>
              </w:rPr>
              <w:t>Supported statement</w:t>
            </w:r>
          </w:p>
        </w:tc>
        <w:tc>
          <w:tcPr>
            <w:tcW w:type="dxa" w:w="5184"/>
            <w:shd w:fill="E9EFF4"/>
          </w:tcPr>
          <w:p>
            <w:r>
              <w:rPr>
                <w:b/>
                <w:sz w:val="17"/>
              </w:rPr>
              <w:t>Required caveat</w:t>
            </w:r>
          </w:p>
        </w:tc>
      </w:tr>
      <w:tr>
        <w:tc>
          <w:tcPr>
            <w:tcW w:type="dxa" w:w="5184"/>
            <w:vAlign w:val="center"/>
          </w:tcPr>
          <w:p>
            <w:r>
              <w:rPr>
                <w:sz w:val="16"/>
              </w:rPr>
              <w:t>52M crossed the 13M practical wall</w:t>
            </w:r>
          </w:p>
        </w:tc>
        <w:tc>
          <w:tcPr>
            <w:tcW w:type="dxa" w:w="5184"/>
            <w:vAlign w:val="center"/>
          </w:tcPr>
          <w:p>
            <w:r>
              <w:rPr>
                <w:sz w:val="16"/>
              </w:rPr>
              <w:t>On the project synthetic verified task family.</w:t>
            </w:r>
          </w:p>
        </w:tc>
      </w:tr>
      <w:tr>
        <w:tc>
          <w:tcPr>
            <w:tcW w:type="dxa" w:w="5184"/>
            <w:vAlign w:val="center"/>
          </w:tcPr>
          <w:p>
            <w:r>
              <w:rPr>
                <w:sz w:val="16"/>
              </w:rPr>
              <w:t>Canonical interface improved robustness</w:t>
            </w:r>
          </w:p>
        </w:tc>
        <w:tc>
          <w:tcPr>
            <w:tcW w:type="dxa" w:w="5184"/>
            <w:vAlign w:val="center"/>
          </w:tcPr>
          <w:p>
            <w:r>
              <w:rPr>
                <w:sz w:val="16"/>
              </w:rPr>
              <w:t>Inside a deterministic signature/AST wrapper.</w:t>
            </w:r>
          </w:p>
        </w:tc>
      </w:tr>
      <w:tr>
        <w:tc>
          <w:tcPr>
            <w:tcW w:type="dxa" w:w="5184"/>
            <w:vAlign w:val="center"/>
          </w:tcPr>
          <w:p>
            <w:r>
              <w:rPr>
                <w:sz w:val="16"/>
              </w:rPr>
              <w:t>Depth coverage expands generalization</w:t>
            </w:r>
          </w:p>
        </w:tc>
        <w:tc>
          <w:tcPr>
            <w:tcW w:type="dxa" w:w="5184"/>
            <w:vAlign w:val="center"/>
          </w:tcPr>
          <w:p>
            <w:r>
              <w:rPr>
                <w:sz w:val="16"/>
              </w:rPr>
              <w:t>Extrapolation remains bounded.</w:t>
            </w:r>
          </w:p>
        </w:tc>
      </w:tr>
      <w:tr>
        <w:tc>
          <w:tcPr>
            <w:tcW w:type="dxa" w:w="5184"/>
            <w:vAlign w:val="center"/>
          </w:tcPr>
          <w:p>
            <w:r>
              <w:rPr>
                <w:sz w:val="16"/>
              </w:rPr>
              <w:t>STaR improved greedy capability</w:t>
            </w:r>
          </w:p>
        </w:tc>
        <w:tc>
          <w:tcPr>
            <w:tcW w:type="dxa" w:w="5184"/>
            <w:vAlign w:val="center"/>
          </w:tcPr>
          <w:p>
            <w:r>
              <w:rPr>
                <w:sz w:val="16"/>
              </w:rPr>
              <w:t>Only until pass@1 reached pass@k.</w:t>
            </w:r>
          </w:p>
        </w:tc>
      </w:tr>
      <w:tr>
        <w:tc>
          <w:tcPr>
            <w:tcW w:type="dxa" w:w="5184"/>
            <w:vAlign w:val="center"/>
          </w:tcPr>
          <w:p>
            <w:r>
              <w:rPr>
                <w:sz w:val="16"/>
              </w:rPr>
              <w:t>Chunking solved very deep tasks</w:t>
            </w:r>
          </w:p>
        </w:tc>
        <w:tc>
          <w:tcPr>
            <w:tcW w:type="dxa" w:w="5184"/>
            <w:vAlign w:val="center"/>
          </w:tcPr>
          <w:p>
            <w:r>
              <w:rPr>
                <w:sz w:val="16"/>
              </w:rPr>
              <w:t>The harness supplied the correct decomposition.</w:t>
            </w:r>
          </w:p>
        </w:tc>
      </w:tr>
      <w:tr>
        <w:tc>
          <w:tcPr>
            <w:tcW w:type="dxa" w:w="5184"/>
            <w:vAlign w:val="center"/>
          </w:tcPr>
          <w:p>
            <w:r>
              <w:rPr>
                <w:sz w:val="16"/>
              </w:rPr>
              <w:t>Blackwell FP8 has raw headroom</w:t>
            </w:r>
          </w:p>
        </w:tc>
        <w:tc>
          <w:tcPr>
            <w:tcW w:type="dxa" w:w="5184"/>
            <w:vAlign w:val="center"/>
          </w:tcPr>
          <w:p>
            <w:r>
              <w:rPr>
                <w:sz w:val="16"/>
              </w:rPr>
              <w:t>Naive end-to-end FP8 was slower in the tested stack.</w:t>
            </w:r>
          </w:p>
        </w:tc>
      </w:tr>
    </w:tbl>
    <w:p>
      <w:pPr>
        <w:pStyle w:val="Heading1"/>
      </w:pPr>
      <w:r>
        <w:t>10. Next research target</w:t>
      </w:r>
    </w:p>
    <w:p>
      <w:r>
        <w:t>Train and evaluate a planner that receives only a Vietnamese specification and function signature, emits a bounded IR, and relies on a deterministic compiler and hidden execution tests. Compare it against direct code generation under the same parameter and token budgets. This removes the largest remaining oracle assumption.</w:t>
      </w:r>
    </w:p>
    <w:p>
      <w:pPr>
        <w:pStyle w:val="Heading1"/>
      </w:pPr>
      <w:r>
        <w:t>Appendix A - Public/private boundary</w:t>
      </w:r>
    </w:p>
    <w:p>
      <w:pPr>
        <w:jc w:val="center"/>
      </w:pPr>
      <w:r>
        <w:drawing>
          <wp:inline xmlns:a="http://schemas.openxmlformats.org/drawingml/2006/main" xmlns:pic="http://schemas.openxmlformats.org/drawingml/2006/picture">
            <wp:extent cx="6583680" cy="2743200"/>
            <wp:docPr id="8" name="Picture 8"/>
            <wp:cNvGraphicFramePr>
              <a:graphicFrameLocks noChangeAspect="1"/>
            </wp:cNvGraphicFramePr>
            <a:graphic>
              <a:graphicData uri="http://schemas.openxmlformats.org/drawingml/2006/picture">
                <pic:pic>
                  <pic:nvPicPr>
                    <pic:cNvPr id="0" name="publication_boundary.png"/>
                    <pic:cNvPicPr/>
                  </pic:nvPicPr>
                  <pic:blipFill>
                    <a:blip r:embed="rId15"/>
                    <a:stretch>
                      <a:fillRect/>
                    </a:stretch>
                  </pic:blipFill>
                  <pic:spPr>
                    <a:xfrm>
                      <a:off x="0" y="0"/>
                      <a:ext cx="6583680" cy="2743200"/>
                    </a:xfrm>
                    <a:prstGeom prst="rect"/>
                  </pic:spPr>
                </pic:pic>
              </a:graphicData>
            </a:graphic>
          </wp:inline>
        </w:drawing>
      </w:r>
    </w:p>
    <w:p>
      <w:r>
        <w:t>The public release includes selected metrics, diagrams, articles, and explicit limitations. The private handoff contains raw notebook exports, transcripts, checkpoints, hashes, and continuation instructions. No credential is stored in either package.</w:t>
      </w:r>
    </w:p>
    <w:p>
      <w:pPr>
        <w:pStyle w:val="Heading1"/>
      </w:pPr>
      <w:r>
        <w:t>Appendix B - Artifact map</w:t>
      </w:r>
    </w:p>
    <w:tbl>
      <w:tblPr>
        <w:tblStyle w:val="TableGrid"/>
        <w:tblW w:type="auto" w:w="0"/>
        <w:jc w:val="center"/>
        <w:tblLook w:firstColumn="1" w:firstRow="1" w:lastColumn="0" w:lastRow="0" w:noHBand="0" w:noVBand="1" w:val="04A0"/>
      </w:tblPr>
      <w:tblGrid>
        <w:gridCol w:w="5184"/>
        <w:gridCol w:w="5184"/>
      </w:tblGrid>
      <w:tr>
        <w:tc>
          <w:tcPr>
            <w:tcW w:type="dxa" w:w="5184"/>
            <w:shd w:fill="E9EFF4"/>
          </w:tcPr>
          <w:p>
            <w:r>
              <w:rPr>
                <w:b/>
                <w:sz w:val="17"/>
              </w:rPr>
              <w:t>Public file</w:t>
            </w:r>
          </w:p>
        </w:tc>
        <w:tc>
          <w:tcPr>
            <w:tcW w:type="dxa" w:w="5184"/>
            <w:shd w:fill="E9EFF4"/>
          </w:tcPr>
          <w:p>
            <w:r>
              <w:rPr>
                <w:b/>
                <w:sz w:val="17"/>
              </w:rPr>
              <w:t>Purpose</w:t>
            </w:r>
          </w:p>
        </w:tc>
      </w:tr>
      <w:tr>
        <w:tc>
          <w:tcPr>
            <w:tcW w:type="dxa" w:w="5184"/>
            <w:vAlign w:val="center"/>
          </w:tcPr>
          <w:p>
            <w:r>
              <w:rPr>
                <w:sz w:val="16"/>
              </w:rPr>
              <w:t>README.md</w:t>
            </w:r>
          </w:p>
        </w:tc>
        <w:tc>
          <w:tcPr>
            <w:tcW w:type="dxa" w:w="5184"/>
            <w:vAlign w:val="center"/>
          </w:tcPr>
          <w:p>
            <w:r>
              <w:rPr>
                <w:sz w:val="16"/>
              </w:rPr>
              <w:t>Short bilingual GitHub overview.</w:t>
            </w:r>
          </w:p>
        </w:tc>
      </w:tr>
      <w:tr>
        <w:tc>
          <w:tcPr>
            <w:tcW w:type="dxa" w:w="5184"/>
            <w:vAlign w:val="center"/>
          </w:tcPr>
          <w:p>
            <w:r>
              <w:rPr>
                <w:sz w:val="16"/>
              </w:rPr>
              <w:t>tdgl_codes_article_vi.md / .html</w:t>
            </w:r>
          </w:p>
        </w:tc>
        <w:tc>
          <w:tcPr>
            <w:tcW w:type="dxa" w:w="5184"/>
            <w:vAlign w:val="center"/>
          </w:tcPr>
          <w:p>
            <w:r>
              <w:rPr>
                <w:sz w:val="16"/>
              </w:rPr>
              <w:t>Long Vietnamese website article.</w:t>
            </w:r>
          </w:p>
        </w:tc>
      </w:tr>
      <w:tr>
        <w:tc>
          <w:tcPr>
            <w:tcW w:type="dxa" w:w="5184"/>
            <w:vAlign w:val="center"/>
          </w:tcPr>
          <w:p>
            <w:r>
              <w:rPr>
                <w:sz w:val="16"/>
              </w:rPr>
              <w:t>tdgl_codes_article_en.md / .html</w:t>
            </w:r>
          </w:p>
        </w:tc>
        <w:tc>
          <w:tcPr>
            <w:tcW w:type="dxa" w:w="5184"/>
            <w:vAlign w:val="center"/>
          </w:tcPr>
          <w:p>
            <w:r>
              <w:rPr>
                <w:sz w:val="16"/>
              </w:rPr>
              <w:t>English research preview.</w:t>
            </w:r>
          </w:p>
        </w:tc>
      </w:tr>
      <w:tr>
        <w:tc>
          <w:tcPr>
            <w:tcW w:type="dxa" w:w="5184"/>
            <w:vAlign w:val="center"/>
          </w:tcPr>
          <w:p>
            <w:r>
              <w:rPr>
                <w:sz w:val="16"/>
              </w:rPr>
              <w:t>figures/</w:t>
            </w:r>
          </w:p>
        </w:tc>
        <w:tc>
          <w:tcPr>
            <w:tcW w:type="dxa" w:w="5184"/>
            <w:vAlign w:val="center"/>
          </w:tcPr>
          <w:p>
            <w:r>
              <w:rPr>
                <w:sz w:val="16"/>
              </w:rPr>
              <w:t>SVG and PNG charts/diagrams.</w:t>
            </w:r>
          </w:p>
        </w:tc>
      </w:tr>
      <w:tr>
        <w:tc>
          <w:tcPr>
            <w:tcW w:type="dxa" w:w="5184"/>
            <w:vAlign w:val="center"/>
          </w:tcPr>
          <w:p>
            <w:r>
              <w:rPr>
                <w:sz w:val="16"/>
              </w:rPr>
              <w:t>data/public_metrics.csv</w:t>
            </w:r>
          </w:p>
        </w:tc>
        <w:tc>
          <w:tcPr>
            <w:tcW w:type="dxa" w:w="5184"/>
            <w:vAlign w:val="center"/>
          </w:tcPr>
          <w:p>
            <w:r>
              <w:rPr>
                <w:sz w:val="16"/>
              </w:rPr>
              <w:t>Selected publication-safe metrics.</w:t>
            </w:r>
          </w:p>
        </w:tc>
      </w:tr>
      <w:tr>
        <w:tc>
          <w:tcPr>
            <w:tcW w:type="dxa" w:w="5184"/>
            <w:vAlign w:val="center"/>
          </w:tcPr>
          <w:p>
            <w:r>
              <w:rPr>
                <w:sz w:val="16"/>
              </w:rPr>
              <w:t>PUBLICATION_BOUNDARY.md</w:t>
            </w:r>
          </w:p>
        </w:tc>
        <w:tc>
          <w:tcPr>
            <w:tcW w:type="dxa" w:w="5184"/>
            <w:vAlign w:val="center"/>
          </w:tcPr>
          <w:p>
            <w:r>
              <w:rPr>
                <w:sz w:val="16"/>
              </w:rPr>
              <w:t>What to publish and what to retain.</w:t>
            </w:r>
          </w:p>
        </w:tc>
      </w:tr>
    </w:tbl>
    <w:sectPr w:rsidR="00FC693F" w:rsidRPr="0006063C" w:rsidSect="00034616">
      <w:pgSz w:w="12240" w:h="15840"/>
      <w:pgMar w:top="936" w:right="936" w:bottom="93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DejaVu Sans" w:hAnsi="DejaVu Sans" w:eastAsia="DejaVu Sa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DejaVu Sans" w:hAnsi="DejaVu Sans" w:eastAsia="DejaVu Sans"/>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DejaVu Sans" w:hAnsi="DejaVu Sans" w:eastAsia="DejaVu Sans"/>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DejaVu Sans" w:hAnsi="DejaVu Sans" w:eastAsia="DejaVu Sans"/>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DejaVu Sans" w:hAnsi="DejaVu Sans" w:eastAsia="DejaVu Sans"/>
      <w:color w:val="17365D" w:themeColor="text2" w:themeShade="BF"/>
      <w:spacing w:val="5"/>
      <w:kern w:val="28"/>
      <w:sz w:val="5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Vietnamese Small Code Model Research Preview</dc:title>
  <dc:subject>Publication-safe bilingual technical summary</dc:subject>
  <dc:creator>TDGL Research</dc:creator>
  <cp:keywords>small language model, code generation, Vietnamese, Blackwell, verified training</cp:keywords>
  <dc:description>Publication-safe preview; private recipes and raw checkpoints are excluded.</dc:description>
  <cp:lastModifiedBy>TDGL Research</cp:lastModifiedBy>
  <cp:revision>1</cp:revision>
  <dcterms:created xsi:type="dcterms:W3CDTF">2013-12-23T23:15:00Z</dcterms:created>
  <dcterms:modified xsi:type="dcterms:W3CDTF">2013-12-23T23:15:00Z</dcterms:modified>
  <cp:category/>
</cp:coreProperties>
</file>